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b193cf02134419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194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pentru Dezvoltare Locală - G.A.L. Codrii Herței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CH_I1.Investiții și servicii de bază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EG 1 urmărește confirmarea faptului că solicitantul este o Unitate Administrativ-Teritorială (UAT), o Asociație de Dezvoltare Intercomunitară (ADI), Asociaţie sau fundaţie, constituite și funcționând conform legislației în vigoare, cu sediul pe teritoriul GAL Codrii Herței. Verificarea se realizează prin analiza documentelor depuse, compararea acestora cu cerințele de eligibilitate prevăzute în Strategia de Dezvoltare Locală și confirmarea statutului juridic.</w:t>
            </w:r>
          </w:p>
          <w:p>
            <w:pPr>
              <w:spacing w:line="360" w:lineRule="auto"/>
              <w:ind w:left="0" w:right="0" w:firstLine="493"/>
            </w:pPr>
            <w:r>
              <w:rPr>
                <w:rFonts w:ascii="Cambria" w:hAnsi="Cambria"/>
                <w:b w:val="false"/>
                <w:sz w:val="24"/>
              </w:rPr>
              <w:t>Documente obligatorii Solicitantul trebuie să prezinte: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-Hotărâri de constituire și acord de asociere (pentru ADI);</w:t>
            </w:r>
          </w:p>
          <w:p>
            <w:pPr>
              <w:spacing w:line="360" w:lineRule="auto"/>
              <w:ind w:left="0" w:right="0" w:firstLine="493"/>
            </w:pPr>
            <w:r>
              <w:rPr>
                <w:rFonts w:ascii="Cambria" w:hAnsi="Cambria"/>
                <w:b w:val="false"/>
                <w:sz w:val="24"/>
              </w:rPr>
              <w:t>-Încheiere privind înscrierea în Registrul Asociațiilor și Fundațiilor, rămasă definitivă/Certificat de înregistrare în Registrul Asociațiilor și Fundațiilor; Actul de înfiinţare şi statutul ONG; </w:t>
            </w:r>
          </w:p>
          <w:p>
            <w:pPr>
              <w:spacing w:line="360" w:lineRule="auto"/>
              <w:ind w:left="0" w:right="0" w:firstLine="493"/>
            </w:pPr>
            <w:r>
              <w:rPr>
                <w:rFonts w:ascii="Cambria" w:hAnsi="Cambria"/>
                <w:b w:val="false"/>
                <w:sz w:val="24"/>
              </w:rPr>
              <w:t>-Documente care atestă forma de organizare a solicitantului, altele decât cele de mai sus;</w:t>
            </w:r>
          </w:p>
          <w:p>
            <w:pPr>
              <w:spacing w:line="360" w:lineRule="auto"/>
              <w:ind w:left="0" w:right="0" w:firstLine="493"/>
            </w:pPr>
            <w:r>
              <w:rPr>
                <w:rFonts w:ascii="Cambria" w:hAnsi="Cambria"/>
                <w:b w:val="false"/>
                <w:sz w:val="24"/>
              </w:rPr>
              <w:t>Elemente de analiză</w:t>
            </w:r>
          </w:p>
          <w:p>
            <w:r>
              <w:rPr>
                <w:rFonts w:ascii="Cambria" w:hAnsi="Cambria"/>
                <w:b w:val="false"/>
                <w:sz w:val="24"/>
              </w:rPr>
              <w:t>Se verifică dacă solicitantul este constituit legal, are sediul în teritoriul GAL Codrii Herței, deține competența legală pentru implementarea proiectului și îndeplinește condițiile de eligibilitate stabilite prin Ghidul solicitantului. În urma analizei, criteriul este declarat admis (încadrare completă) sau respins (neeligibilitate sau lipsă documente justificative).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nu trebuie să fie în insolvență, conform legislației în vigoare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urmărește confirmarea faptului că solicitantul nu se află în procedură de insolvență și că își poate îndeplini obligațiile financiare pe durata implementării proiectului.</w:t>
            </w:r>
          </w:p>
          <w:p>
            <w:pPr>
              <w:spacing w:line="360" w:lineRule="auto"/>
              <w:ind w:left="0" w:right="0" w:firstLine="493"/>
            </w:pPr>
            <w:r>
              <w:rPr>
                <w:rFonts w:ascii="Cambria" w:hAnsi="Cambria"/>
                <w:b w:val="false"/>
                <w:sz w:val="24"/>
              </w:rPr>
              <w:t>Verificarea se realizează prin utilizarea de către experții evaluatori a unor documente/ baze de date de uz intern ale Agenției (Registrul debitorilor, Buletinul Procedurilor de Insolvență) și se va proceda astfel:</w:t>
            </w:r>
          </w:p>
          <w:p>
            <w:pPr>
              <w:spacing w:line="360" w:lineRule="auto"/>
              <w:ind w:left="0" w:right="0" w:firstLine="493"/>
            </w:pPr>
            <w:r>
              <w:rPr>
                <w:rFonts w:ascii="Cambria" w:hAnsi="Cambria"/>
                <w:b w:val="false"/>
                <w:sz w:val="24"/>
              </w:rPr>
              <w:t>1. GAL va transmite o solicitare către OJFIR de care aparține, prin care</w:t>
            </w:r>
          </w:p>
          <w:p>
            <w:pPr>
              <w:spacing w:line="360" w:lineRule="auto"/>
              <w:ind w:left="0" w:right="0" w:firstLine="493"/>
            </w:pPr>
            <w:r>
              <w:rPr>
                <w:rFonts w:ascii="Cambria" w:hAnsi="Cambria"/>
                <w:b w:val="false"/>
                <w:sz w:val="24"/>
              </w:rPr>
              <w:t>va solicita informațiile menționate ı̂n cadrul fișelor de verificare a</w:t>
            </w:r>
          </w:p>
          <w:p>
            <w:pPr>
              <w:spacing w:line="360" w:lineRule="auto"/>
              <w:ind w:left="0" w:right="0" w:firstLine="493"/>
            </w:pPr>
            <w:r>
              <w:rPr>
                <w:rFonts w:ascii="Cambria" w:hAnsi="Cambria"/>
                <w:b w:val="false"/>
                <w:sz w:val="24"/>
              </w:rPr>
              <w:t>condițiilor de eligibilitate și de selecție, necesare evaluării proiectelor;</w:t>
            </w:r>
          </w:p>
          <w:p>
            <w:pPr>
              <w:spacing w:line="360" w:lineRule="auto"/>
              <w:ind w:left="0" w:right="0" w:firstLine="493"/>
            </w:pPr>
            <w:r>
              <w:rPr>
                <w:rFonts w:ascii="Cambria" w:hAnsi="Cambria"/>
                <w:b w:val="false"/>
                <w:sz w:val="24"/>
              </w:rPr>
              <w:t>2. Experții Serviciului LEADER și Investiții Non-agricole din cadrul OJFIR vor efectua verificările prin accesarea documentelor/ bazelor de date ale AFIR și vor comunica GAL, prin intermediul platformei electronice, rezultatele. Dacă în urma verificării, beneficiarul figurează în Buletinul Procedurilor de Insolvenţă cu dosar pe rol, sau figurează în Registrul situațiilor de insolvență, cererea de finanțare va fi declarată neeligibilă.</w:t>
            </w:r>
          </w:p>
          <w:p>
            <w:pPr>
              <w:spacing w:line="360" w:lineRule="auto"/>
              <w:ind w:left="0" w:right="0" w:firstLine="493"/>
            </w:pPr>
            <w:r>
              <w:rPr>
                <w:rFonts w:ascii="Cambria" w:hAnsi="Cambria"/>
                <w:b w:val="false"/>
                <w:sz w:val="24"/>
              </w:rPr>
              <w:t>Dacă în urma verificării documentelor, expertul constată îndeplinirea</w:t>
            </w:r>
          </w:p>
          <w:p>
            <w:pPr>
              <w:spacing w:line="360" w:lineRule="auto"/>
              <w:ind w:left="0" w:right="0" w:firstLine="493"/>
            </w:pPr>
            <w:r>
              <w:rPr>
                <w:rFonts w:ascii="Cambria" w:hAnsi="Cambria"/>
                <w:b w:val="false"/>
                <w:sz w:val="24"/>
              </w:rPr>
              <w:t>criteriului de eligibilitate bifează caseta “DA”. În caz contrar se va bifa</w:t>
            </w:r>
          </w:p>
          <w:p>
            <w:pPr>
              <w:spacing w:line="360" w:lineRule="auto"/>
              <w:ind w:left="0" w:right="0" w:firstLine="493"/>
            </w:pPr>
            <w:r>
              <w:rPr>
                <w:rFonts w:ascii="Cambria" w:hAnsi="Cambria"/>
                <w:b w:val="false"/>
                <w:sz w:val="24"/>
              </w:rPr>
              <w:t>“NU”, condiția de eligibilitate nefiind îndeplinită, se va argumenta motivul în rubrica ”Observații”. Se continuă evaluarea condițiilor de eligibilitate.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Rezultate în urma verificării OJFIR prin accesarea documentelor/ bazelor de date de uz intern ale AFIR (Registrul debitorilor, Buletinul Procedurilor de Insolvență).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se angajează să asigure întreținerea / mentenanța investiției pe o perioadă de minim 5 ani, de la finalizarea ultimei cereri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se angajează să asigure ı̂ntreținerea/mentenanța investiției pe o perioadă de minim 5 ani, de la finalizarea ultimei cereri de plată;</w:t>
            </w:r>
          </w:p>
          <w:p>
            <w:pPr>
              <w:spacing w:line="360" w:lineRule="auto"/>
              <w:ind w:left="0" w:right="0" w:firstLine="493"/>
            </w:pPr>
            <w:r>
              <w:rPr>
                <w:rFonts w:ascii="Cambria" w:hAnsi="Cambria"/>
                <w:b w:val="false"/>
                <w:sz w:val="24"/>
              </w:rPr>
              <w:t>Solicitantul are obligația de a se angaja ı̂n mod ferm că va asigura ı̂ntreținerea și mentenanța investiției realizate prin proiect, pe o perioadă de minimum 5 ani, începând de la data finalizării ultimei cereri de plată.</w:t>
            </w:r>
          </w:p>
          <w:p>
            <w:pPr>
              <w:spacing w:line="360" w:lineRule="auto"/>
              <w:ind w:left="0" w:right="0" w:firstLine="493"/>
            </w:pPr>
            <w:r>
              <w:rPr>
                <w:rFonts w:ascii="Cambria" w:hAnsi="Cambria"/>
                <w:b w:val="false"/>
                <w:sz w:val="24"/>
              </w:rPr>
              <w:t>Calculul termenului se face de la data plății finale a ajutorului financiar nerambursabil (ultima cerere de plată aprobată).</w:t>
            </w:r>
          </w:p>
          <w:p>
            <w:pPr>
              <w:spacing w:line="360" w:lineRule="auto"/>
              <w:ind w:left="0" w:right="0" w:firstLine="493"/>
            </w:pPr>
            <w:r>
              <w:rPr>
                <w:rFonts w:ascii="Cambria" w:hAnsi="Cambria"/>
                <w:b w:val="false"/>
                <w:sz w:val="24"/>
              </w:rPr>
              <w:t>Angajamentul se va exprima ı̂n cadrul Hotărârea CL/Hotărârea AGA, anexată cererii de finanțare;</w:t>
            </w:r>
          </w:p>
          <w:p>
            <w:pPr>
              <w:spacing w:line="360" w:lineRule="auto"/>
              <w:ind w:left="0" w:right="0" w:firstLine="493"/>
            </w:pPr>
            <w:r>
              <w:rPr>
                <w:rFonts w:ascii="Cambria" w:hAnsi="Cambria"/>
                <w:b w:val="false"/>
                <w:sz w:val="24"/>
              </w:rPr>
              <w:t>Nerespectarea acestei obligații poate conduce la recuperarea totală sau parțială a sprijinului financiar acordat;</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Hotărârea Consiliului Local/Consiliilor Locale ı̂n cazul ADI/  Hotărârea Adunării Generale a ONG pentru implementarea proiectului</w:t>
            </w:r>
          </w:p>
          <w:p>
            <w:pPr>
              <w:spacing w:line="360" w:lineRule="auto"/>
              <w:ind w:left="0" w:right="0" w:firstLine="493"/>
            </w:pPr>
            <w:r>
              <w:rPr>
                <w:rFonts w:ascii="Cambria" w:hAnsi="Cambria"/>
                <w:b w:val="false"/>
                <w:sz w:val="24"/>
              </w:rPr>
              <w:t>Angajamentul de a suporta cheltuielile cu întreținerea/mentenanța investiţiei pe o perioadă de minimum 5 ani de la data efectuării ultimei plăți/la care investiţia a fost dată în exploatare;</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Expertul verifică în Hotărârea Consiliului Local/Hotărârile Consiliilor Locale în cazul ADI/ Hotărârea Adunării Generale a ONG, angajamentul de a suporta cheltuielile de întreţinere/mentenanță a investiţiei pe o perioadă de minimum 5 ani de la data la care investiţia a fost data în exploatare;</w:t>
            </w:r>
          </w:p>
          <w:p>
            <w:pPr>
              <w:spacing w:line="360" w:lineRule="auto"/>
              <w:ind w:left="0" w:right="0" w:firstLine="493"/>
            </w:pPr>
            <w:r>
              <w:rPr>
                <w:rFonts w:ascii="Cambria" w:hAnsi="Cambria"/>
                <w:b w:val="false"/>
                <w:sz w:val="24"/>
              </w:rPr>
              <w:t>Dacă verificarea documentelor confirmă faptul că solicitantul se angajează să asigure întreținerea/mentenanța investiției pe o perioadă de minim 5 ani, de la finalizarea ultimei cereri de plată, expertul bifează căsuța din coloana DA din fişa de verificare. În caz contrar, expertul bifează căsuța din coloana NU şi motivează poziția lui în rubrica „Observații” din fişa de evaluare generală a proiectului,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Investiția să se încadreze în tipul de sprijin prevăzut prin interventie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Acest criteriu are rolul de a confirma faptul că investiția propusă corespunde obiectivelor, activităților și tipurilor de cheltuieli eligibile prevăzute în fișa tehnică a intervenției din cadrul Strategiei de Dezvoltare Locală a GAL Codrii Herței. Verificarea se realizează prin analiza documentației depuse, cu accent pe corelarea obiectului investiției cu tipul de sprijin acordat prin apelul de selecție.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 completată corect, cu descrierea detaliată a investiției;</w:t>
            </w:r>
          </w:p>
          <w:p>
            <w:pPr>
              <w:spacing w:line="360" w:lineRule="auto"/>
              <w:ind w:left="0" w:right="0" w:firstLine="493"/>
            </w:pPr>
            <w:r>
              <w:rPr>
                <w:rFonts w:ascii="Cambria" w:hAnsi="Cambria"/>
                <w:b w:val="false"/>
                <w:sz w:val="24"/>
              </w:rPr>
              <w:t>-Deviz general și deviz pe obiect întocmite conform legislației, evidențiind cheltuielile eligibile (dacă este cazul);</w:t>
            </w:r>
          </w:p>
          <w:p>
            <w:pPr>
              <w:spacing w:line="360" w:lineRule="auto"/>
              <w:ind w:left="0" w:right="0" w:firstLine="493"/>
            </w:pPr>
            <w:r>
              <w:rPr>
                <w:rFonts w:ascii="Cambria" w:hAnsi="Cambria"/>
                <w:b w:val="false"/>
                <w:sz w:val="24"/>
              </w:rPr>
              <w:t>-Memoriu justificativ / studiu de fezabilitate / documentație DALI,</w:t>
            </w:r>
          </w:p>
          <w:p>
            <w:pPr>
              <w:spacing w:line="360" w:lineRule="auto"/>
              <w:ind w:left="0" w:right="0" w:firstLine="493"/>
            </w:pPr>
            <w:r>
              <w:rPr>
                <w:rFonts w:ascii="Cambria" w:hAnsi="Cambria"/>
                <w:b w:val="false"/>
                <w:sz w:val="24"/>
              </w:rPr>
              <w:t>în funcție de natura investiției(dacă este cazul);</w:t>
            </w:r>
          </w:p>
          <w:p>
            <w:pPr>
              <w:spacing w:line="360" w:lineRule="auto"/>
              <w:ind w:left="0" w:right="0" w:firstLine="493"/>
            </w:pPr>
            <w:r>
              <w:rPr>
                <w:rFonts w:ascii="Cambria" w:hAnsi="Cambria"/>
                <w:b w:val="false"/>
                <w:sz w:val="24"/>
              </w:rPr>
              <w:t>Elemente de analiză</w:t>
            </w:r>
          </w:p>
          <w:p>
            <w:pPr>
              <w:spacing w:line="360" w:lineRule="auto"/>
              <w:ind w:left="0" w:right="0" w:firstLine="493"/>
            </w:pPr>
            <w:r>
              <w:rPr>
                <w:rFonts w:ascii="Cambria" w:hAnsi="Cambria"/>
                <w:b w:val="false"/>
                <w:sz w:val="24"/>
              </w:rPr>
              <w:t>Se verifică dacă investiția:</w:t>
            </w:r>
          </w:p>
          <w:p>
            <w:pPr>
              <w:spacing w:line="360" w:lineRule="auto"/>
              <w:ind w:left="0" w:right="0" w:firstLine="493"/>
            </w:pPr>
            <w:r>
              <w:rPr>
                <w:rFonts w:ascii="Cambria" w:hAnsi="Cambria"/>
                <w:b w:val="false"/>
                <w:sz w:val="24"/>
              </w:rPr>
              <w:t>-se regăsește explicit în lista cheltuielilor eligibile prevăzute în fișa intervenției;</w:t>
            </w:r>
          </w:p>
          <w:p>
            <w:pPr>
              <w:spacing w:line="360" w:lineRule="auto"/>
              <w:ind w:left="0" w:right="0" w:firstLine="493"/>
            </w:pPr>
            <w:r>
              <w:rPr>
                <w:rFonts w:ascii="Cambria" w:hAnsi="Cambria"/>
                <w:b w:val="false"/>
                <w:sz w:val="24"/>
              </w:rPr>
              <w:t>-contribuie direct la obiectivele specifice ale apelului;</w:t>
            </w:r>
          </w:p>
          <w:p>
            <w:pPr>
              <w:spacing w:line="360" w:lineRule="auto"/>
              <w:ind w:left="0" w:right="0" w:firstLine="493"/>
            </w:pPr>
            <w:r>
              <w:rPr>
                <w:rFonts w:ascii="Cambria" w:hAnsi="Cambria"/>
                <w:b w:val="false"/>
                <w:sz w:val="24"/>
              </w:rPr>
              <w:t>-respectă limita maximă de finanțare și procentul aferent sprijinului nerambursabil.</w:t>
            </w:r>
          </w:p>
          <w:p>
            <w:r>
              <w:rPr>
                <w:rFonts w:ascii="Cambria" w:hAnsi="Cambria"/>
                <w:b w:val="false"/>
                <w:sz w:val="24"/>
              </w:rPr>
              <w:t>Investițiile care nu se încadrează clar în tipul de sprijin acordat sunt declarate neeligibile.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să se realizeze în teritoriul acoperit de G.A.L. Codrii Herței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a fi considerată eligibilă, investiția propusă trebuie să fie realizată integral în teritoriul acoperit de G.A.L. Codrii Herței.</w:t>
            </w:r>
          </w:p>
          <w:p>
            <w:pPr>
              <w:spacing w:line="360" w:lineRule="auto"/>
              <w:ind w:left="0" w:right="0" w:firstLine="493"/>
            </w:pPr>
            <w:r>
              <w:rPr>
                <w:rFonts w:ascii="Cambria" w:hAnsi="Cambria"/>
                <w:b w:val="false"/>
                <w:sz w:val="24"/>
              </w:rPr>
              <w:t>Aceasta presupune că:</w:t>
            </w:r>
          </w:p>
          <w:p>
            <w:pPr>
              <w:spacing w:line="360" w:lineRule="auto"/>
              <w:ind w:left="0" w:right="0" w:firstLine="493"/>
            </w:pPr>
            <w:r>
              <w:rPr>
                <w:rFonts w:ascii="Cambria" w:hAnsi="Cambria"/>
                <w:b w:val="false"/>
                <w:sz w:val="24"/>
              </w:rPr>
              <w:t>- Sediul social și amplasamentul fizic al investiției (terenul, clădirile, infrastructura, utilitățile etc.) trebuie să se situeze în limitele administrative ale unităților teritoriale componente ale G.A.L. Codrii Herței;</w:t>
            </w:r>
          </w:p>
          <w:p>
            <w:pPr>
              <w:spacing w:line="360" w:lineRule="auto"/>
              <w:ind w:left="0" w:right="0" w:firstLine="493"/>
            </w:pPr>
            <w:r>
              <w:rPr>
                <w:rFonts w:ascii="Cambria" w:hAnsi="Cambria"/>
                <w:b w:val="false"/>
                <w:sz w:val="24"/>
              </w:rPr>
              <w:t>- Activitățile derulate în cadrul proiectului trebuie să aibă impact direct și exclusiv asupra comunităților din acest teritoriu;</w:t>
            </w:r>
          </w:p>
          <w:p>
            <w:pPr>
              <w:spacing w:line="360" w:lineRule="auto"/>
              <w:ind w:left="0" w:right="0" w:firstLine="493"/>
            </w:pPr>
            <w:r>
              <w:rPr>
                <w:rFonts w:ascii="Cambria" w:hAnsi="Cambria"/>
                <w:b w:val="false"/>
                <w:sz w:val="24"/>
              </w:rPr>
              <w:t>- Solicitantul trebuie să prezinte documente justificative care atestă locația exactă a investiției (ex.: extras de carte funciară, certificat de urbanism, plan de situație);</w:t>
            </w:r>
          </w:p>
          <w:p>
            <w:pPr>
              <w:spacing w:line="360" w:lineRule="auto"/>
              <w:ind w:left="0" w:right="0" w:firstLine="493"/>
            </w:pPr>
            <w:r>
              <w:rPr>
                <w:rFonts w:ascii="Cambria" w:hAnsi="Cambria"/>
                <w:b w:val="false"/>
                <w:sz w:val="24"/>
              </w:rPr>
              <w:t>- În cazul investițiilor mobile sau de natură itinerantă, acestea trebuie să fie utilizate în mod preponderent pe teritoriul G.A.L. Codrii Herței. Nerespectarea acestei condiții va conduce la declararea proiectului ca neeligibil.</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 însoţit de acordul autorității deținătoare (în cazul în care terenul este inclus în proprietatea publică sau administrarea unei autorităţi publice locale, alta decât cea care solicită fonduri FEADR) (dacă este cazul);</w:t>
            </w:r>
          </w:p>
          <w:p>
            <w:pPr>
              <w:spacing w:line="360" w:lineRule="auto"/>
              <w:ind w:left="0" w:right="0" w:firstLine="493"/>
            </w:pPr>
            <w:r>
              <w:rPr>
                <w:rFonts w:ascii="Cambria" w:hAnsi="Cambria"/>
                <w:b w:val="false"/>
                <w:sz w:val="24"/>
              </w:rPr>
              <w:t>Hotărârea Consiliului Local privind aprobarea modificărilor şi/saucompletărilor la inventar în sensul includerii în domeniul public a altor bunuri(supusă controlului de legalitate al Prefectului, în condiţiile legii)</w:t>
            </w:r>
          </w:p>
          <w:p>
            <w:pPr>
              <w:spacing w:line="360" w:lineRule="auto"/>
              <w:ind w:left="0" w:right="0" w:firstLine="493"/>
            </w:pPr>
            <w:r>
              <w:rPr>
                <w:rFonts w:ascii="Cambria" w:hAnsi="Cambria"/>
                <w:b w:val="false"/>
                <w:sz w:val="24"/>
              </w:rPr>
              <w:t>Act de proprietate/Contract de concesiune /delegare a administrării bunului imobil, valabil pentru o perioadă de cel puțin 10 ani de la data depunerii CF (ONG);</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 Eficiența acțiunilor prevăzute - numărul de locuitori deserviți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 cadrul procesului de evaluare, se va analiza eficiența acțiunilor propuse prin prisma numărului de locuitori care beneficiază direct sau indirect de rezultatele investiției.Astfel:- Se va considera eficientă acea investiție care are un impact semnificativ, măsurabil printr-un număr cât mai mare de locuitori deserviți în raport cu obiectivele și natura acțiunii;- Solicitantul trebuie să prezinte o estimare realistă și argumentată a numărului de beneficiari, bazată pe date oficiale (ex.: date INS, evidențe ale autorităților locale, studii de fezabilitate, planuri urbanistice etc.); Se vor lua în calcul atât locuitorii care beneficiază direct de investiție(ex.: utilizatori ai unei infrastructuri publice modernizate), cât și cei care beneficiază indirect (ex.: îmbunătățirea calității vieții prin creșterea serviciilor disponibile);Documente prezentate:Memoriul justificativ/Studiul de Fezabilitate/Documentaţia de avizare pentru Lucrări de Intervenţii Hotărârea Consiliului Local (Hotărârile Consiliilor locale în cazul ADI) și/sau Hotărârea Adunării Generale a ONG.</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clasificate dupa tipul investitiei;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Investiții cu impact asupra protecției mediului și promovării dezvoltării durabile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promovează proiectele care includ soluții ecologice și sustenabile, având un impact pozitiv asupra protecției mediului și contribuind la dezvoltarea durabilă a comunității.</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20 puncte - Investiții cu impact direct asupra protecției mediului și dezvoltării durabile – proiectul include soluții concrete care au un impact semnificativ asupra protecției mediului (ex. investiții ı̂n tehnologii verzi, utilizarea de surse regenerabile de energie, reducerea emisiilor de CO₂, gestionarea eficientă a resurselor) și care contribuie la dezvoltarea durabilă a comunității.</w:t>
            </w:r>
          </w:p>
          <w:p>
            <w:pPr>
              <w:spacing w:line="360" w:lineRule="auto"/>
              <w:ind w:left="0" w:right="0" w:firstLine="493"/>
            </w:pPr>
            <w:r>
              <w:rPr>
                <w:rFonts w:ascii="Cambria" w:hAnsi="Cambria"/>
                <w:b w:val="false"/>
                <w:sz w:val="24"/>
              </w:rPr>
              <w:t>Documente  prezentate: CF/MJ/SF/DALI, Hotărâre CL/Hotărâri CL/Hotărâre AGA</w:t>
            </w:r>
          </w:p>
          <w:p>
            <w:pPr>
              <w:spacing w:line="360" w:lineRule="auto"/>
              <w:ind w:left="0" w:right="0" w:firstLine="493"/>
            </w:pPr>
            <w:r>
              <w:rPr>
                <w:rFonts w:ascii="Cambria" w:hAnsi="Cambria"/>
                <w:b w:val="false"/>
                <w:sz w:val="24"/>
              </w:rPr>
              <w:t>Puncte de verificat în cadrul documentelor prezentate: Punctarea acestui criteriu se va face numai dacă acest lucru este prezentat şi demonstrat în Cererea de finanțare/Memoriul justificativ/Studiul de Fezabilitate/ Documentaţia de Avizare a Lucrărilor de Intervenţii, precum și în Hotărârea de Consiliului Local /Hotărârile de Consiliu Locale/Hotărârea Adunării Generale a ONG, pentru realizarea investiţiei, cu referire la tipul de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w:t>
            </w:r>
          </w:p>
        </w:tc>
        <w:tc>
          <w:tcPr>
            <w:shd w:val="clear" w:color="auto" w:fill="F8ECD2"/>
            <w:vAlign w:val="center"/>
          </w:tcPr>
          <w:p>
            <w:r>
              <w:rPr>
                <w:rFonts w:ascii="Cambria" w:hAnsi="Cambria"/>
                <w:b w:val="false"/>
                <w:color w:val="58400C"/>
                <w:sz w:val="24"/>
              </w:rPr>
              <w:t>Investiții în servicii sociale, educaționale și de sănătate </w:t>
            </w:r>
          </w:p>
        </w:tc>
        <w:tc>
          <w:tcPr>
            <w:vAlign w:val="center"/>
          </w:tcPr>
          <w:p>
            <w:pPr>
              <w:keepNext/>
              <w:jc w:val="center"/>
            </w:pPr>
            <w:r>
              <w:rPr>
                <w:rFonts w:ascii="Cambria" w:hAnsi="Cambria"/>
                <w:b w:val="false"/>
                <w:sz w:val="24"/>
              </w:rPr>
              <w:t>17</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susținerea și dezvoltarea serviciilor sociale, educaționale și de sănătate, care contribuie la ı̂mbunătățirea calităti̦i vieții și a diversității ofertei de servicii disponibile ı̂n comunități. Investițiile ı̂n aceste domenii pot contribui la creșterea atractivității localității, la promovarea unui stil de viață sănătos și activ, și la conservarea și promovarea patrimoniului cultural local.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Se acordă 17 puncte proiectelor care dezvoltă servicii sociale, educaționale sau de sănătate accesibile comunității locale.</w:t>
            </w:r>
          </w:p>
          <w:p>
            <w:pPr>
              <w:spacing w:line="360" w:lineRule="auto"/>
              <w:ind w:left="0" w:right="0" w:firstLine="493"/>
            </w:pPr>
            <w:r>
              <w:rPr>
                <w:rFonts w:ascii="Cambria" w:hAnsi="Cambria"/>
                <w:b w:val="false"/>
                <w:sz w:val="24"/>
              </w:rPr>
              <w:t>Documente  prezentate: CF/MJ/SF/DALI, Hotărâre CL/Hotărâri CL/Hotărâre AGA</w:t>
            </w:r>
          </w:p>
          <w:p>
            <w:pPr>
              <w:spacing w:line="360" w:lineRule="auto"/>
              <w:ind w:left="0" w:right="0" w:firstLine="493"/>
            </w:pPr>
            <w:r>
              <w:rPr>
                <w:rFonts w:ascii="Cambria" w:hAnsi="Cambria"/>
                <w:b w:val="false"/>
                <w:sz w:val="24"/>
              </w:rPr>
              <w:t>Puncte de verificat în cadrul documentelor prezentate: Punctarea acestui criteriu se va face numai dacă acest lucru este prezentat şi demonstrat în Cererea de finanțare/Memoriul justificativ/Studiul de Fezabilitate/ Documentaţia de Avizare a Lucrărilor de Intervenţii, precum și în Hotărârea de Consiliului Local /Hotărârile de Consiliu Locale/Hotărârea Adunării Generale a ONG, pentru realizarea investiţiei, cu referire la tipul de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C.S.1.3</w:t>
            </w:r>
          </w:p>
        </w:tc>
        <w:tc>
          <w:tcPr>
            <w:shd w:val="clear" w:color="auto" w:fill="F8ECD2"/>
            <w:vAlign w:val="center"/>
          </w:tcPr>
          <w:p>
            <w:r>
              <w:rPr>
                <w:rFonts w:ascii="Cambria" w:hAnsi="Cambria"/>
                <w:b w:val="false"/>
                <w:color w:val="58400C"/>
                <w:sz w:val="24"/>
              </w:rPr>
              <w:t>Investiții în servicii recreative, culturale sau sportive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Acest criteriu vizează susținerea și dezvoltarea serviciilor recreative, culturale și sportive, care contribuie la îmbunătățirea calității vieții și a diversității ofertei de servicii disponibile în comunități.</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Se acordă punctaj proiectelor care îți propun dezvoltarea infrastructurii pentru servicii culturale/sportive sau de agrement.</w:t>
            </w:r>
          </w:p>
          <w:p>
            <w:pPr>
              <w:spacing w:line="360" w:lineRule="auto"/>
              <w:ind w:left="0" w:right="0" w:firstLine="493"/>
            </w:pPr>
            <w:r>
              <w:rPr>
                <w:rFonts w:ascii="Cambria" w:hAnsi="Cambria"/>
                <w:b w:val="false"/>
                <w:sz w:val="24"/>
              </w:rPr>
              <w:t>Documente  prezentate: CF/MJ/SF/DALI, Hotărâre CL/Hotărâri CL/Hotărâre AGA.</w:t>
            </w:r>
          </w:p>
          <w:p>
            <w:r>
              <w:rPr>
                <w:rFonts w:ascii="Cambria" w:hAnsi="Cambria"/>
                <w:b w:val="false"/>
                <w:sz w:val="24"/>
              </w:rPr>
              <w:t>           Puncte de verificat în cadrul documentelor prezentate: Punctarea acestui criteriu se va face numai dacă acest lucru este prezentat şi demonstrat în Cererea de finanțare/Memoriul justificativ/Studiul de Fezabilitate/ Documentaţia de Avizare a Lucrărilor de Intervenţii, precum și în Hotărârea de Consiliului Local /Hotărârile de Consiliu Locale/Hotărârea Adunării Generale a ONG, pentru realizarea investiţiei, cu referire la tipul de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C.S.1.4</w:t>
            </w:r>
          </w:p>
        </w:tc>
        <w:tc>
          <w:tcPr>
            <w:shd w:val="clear" w:color="auto" w:fill="F8ECD2"/>
            <w:vAlign w:val="center"/>
          </w:tcPr>
          <w:p>
            <w:r>
              <w:rPr>
                <w:rFonts w:ascii="Cambria" w:hAnsi="Cambria"/>
                <w:b w:val="false"/>
                <w:color w:val="58400C"/>
                <w:sz w:val="24"/>
              </w:rPr>
              <w:t>Investiții în conservarea patrimoniului cultural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Acest criteriu urmărește sprijinirea proiectelor care contribuie la protejarea, conservarea, restaurarea și valorificarea patrimoniului cultural local, recunoscut ca având valoare pentru identitatea și dezvoltarea comunității. Se încurajează inițiativele care conservă elemente tradiționale specifice zonei GAL și care le transformă în resurse durabile pentru comunitate (educație, turism, economie locală).</w:t>
            </w:r>
          </w:p>
          <w:p>
            <w:pPr>
              <w:spacing w:line="360" w:lineRule="auto"/>
              <w:ind w:left="0" w:right="0" w:firstLine="493"/>
            </w:pPr>
            <w:r>
              <w:rPr>
                <w:rFonts w:ascii="Cambria" w:hAnsi="Cambria"/>
                <w:b w:val="false"/>
                <w:sz w:val="24"/>
              </w:rPr>
              <w:t>Structura criteriului și punctajul aferent: Se punctează proiectele care protejează, restaurează sau promovează patrimoniul cultural local.</w:t>
            </w:r>
          </w:p>
          <w:p>
            <w:pPr>
              <w:spacing w:line="360" w:lineRule="auto"/>
              <w:ind w:left="0" w:right="0" w:firstLine="493"/>
            </w:pPr>
            <w:r>
              <w:rPr>
                <w:rFonts w:ascii="Cambria" w:hAnsi="Cambria"/>
                <w:b w:val="false"/>
                <w:sz w:val="24"/>
              </w:rPr>
              <w:t>Documente  prezentate: CF/MJ/SF/DALI, Hotărâre CL/Hotărâri CL/Hotărâre AGA.</w:t>
            </w:r>
          </w:p>
          <w:p>
            <w:pPr>
              <w:spacing w:line="360" w:lineRule="auto"/>
              <w:ind w:left="0" w:right="0" w:firstLine="493"/>
            </w:pPr>
            <w:r>
              <w:rPr>
                <w:rFonts w:ascii="Cambria" w:hAnsi="Cambria"/>
                <w:b w:val="false"/>
                <w:sz w:val="24"/>
              </w:rPr>
              <w:t>Puncte de verificat în cadrul documentelor prezentate: Punctarea acestui criteriu se va face numai dacă acest lucru este prezentat şi demonstrat în Cererea de finanțare/Memoriul justificativ/Studiul de Fezabilitate/ Documentaţia de Avizare a Lucrărilor de Intervenţii, precum și în Hotărârea de Consiliului Local /Hotărârile de Consiliu Locale/Hotărârea Adunării Generale a ONG, pentru realizarea investiţiei, cu referire la tipul de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C.S.1.5</w:t>
            </w:r>
          </w:p>
        </w:tc>
        <w:tc>
          <w:tcPr>
            <w:shd w:val="clear" w:color="auto" w:fill="F8ECD2"/>
            <w:vAlign w:val="center"/>
          </w:tcPr>
          <w:p>
            <w:r>
              <w:rPr>
                <w:rFonts w:ascii="Cambria" w:hAnsi="Cambria"/>
                <w:b w:val="false"/>
                <w:color w:val="58400C"/>
                <w:sz w:val="24"/>
              </w:rPr>
              <w:t>Alte tipuri de investiții relevante pentru teritoriu, dar cu impact redus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proiectele care nu se încadrează la categoriile anterioare, dar aduc beneficii punctuale comunității.</w:t>
            </w:r>
          </w:p>
          <w:p>
            <w:pPr>
              <w:spacing w:line="360" w:lineRule="auto"/>
              <w:ind w:left="0" w:right="0" w:firstLine="493"/>
            </w:pPr>
            <w:r>
              <w:rPr>
                <w:rFonts w:ascii="Cambria" w:hAnsi="Cambria"/>
                <w:b w:val="false"/>
                <w:sz w:val="24"/>
              </w:rPr>
              <w:t>Documente  prezentate: CF/MJ/SF/DALI, Hotărâre CL/Hotărâri CL/Hotărâre AGA.</w:t>
            </w:r>
          </w:p>
          <w:p>
            <w:pPr>
              <w:spacing w:line="360" w:lineRule="auto"/>
              <w:ind w:left="0" w:right="0" w:firstLine="493"/>
            </w:pPr>
            <w:r>
              <w:rPr>
                <w:rFonts w:ascii="Cambria" w:hAnsi="Cambria"/>
                <w:b w:val="false"/>
                <w:sz w:val="24"/>
              </w:rPr>
              <w:t>Puncte de verificat în cadrul documentelor prezentate: Punctarea acestui criteriu se va face numai dacă acest lucru este prezentat şi demonstrat în Cererea de finanțare/Memoriul justificativ/Studiul de Fezabilitate/ Documentaţia de Avizare a Lucrărilor de Intervenţii, precum și în Hotărârea de Consiliului Local /Hotărârile de Consiliu Locale/Hotărârea Adunării Generale a ONG, pentru realizarea investiţiei, cu referire la tipul de proiect.</w:t>
            </w:r>
          </w:p>
          <w:p>
            <w:pPr>
              <w:spacing w:line="360" w:lineRule="auto"/>
              <w:ind w:left="0" w:right="0" w:firstLine="493"/>
            </w:pPr>
            <w:r>
              <w:rPr>
                <w:rFonts w:ascii="Cambria" w:hAnsi="Cambria"/>
                <w:b w:val="false"/>
                <w:sz w:val="24"/>
              </w:rPr>
              <w:t>În cadrul prezentului criteriu de selecție, care cuprinde mai multe subcriterii, se va acorda punctaj doar pentru un singur subcriteriu, fără a se cumula punctajele aferente.</w:t>
            </w:r>
          </w:p>
          <w:p>
            <w:pPr>
              <w:spacing w:line="360" w:lineRule="auto"/>
              <w:ind w:left="0" w:right="0" w:firstLine="493"/>
            </w:pPr>
            <w:r>
              <w:rPr>
                <w:rFonts w:ascii="Cambria Bold" w:hAnsi="Cambria Bold"/>
                <w:b/>
                <w:sz w:val="24"/>
              </w:rPr>
              <w:t>Punctajul obținut pentru acest criteriu, în funcție de tipul investiției, nu poate depăși maximum 20 de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cu impact major in comunitate;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C.S.2.1</w:t>
            </w:r>
          </w:p>
        </w:tc>
        <w:tc>
          <w:tcPr>
            <w:shd w:val="clear" w:color="auto" w:fill="F8ECD2"/>
            <w:vAlign w:val="center"/>
          </w:tcPr>
          <w:p>
            <w:r>
              <w:rPr>
                <w:rFonts w:ascii="Cambria" w:hAnsi="Cambria"/>
                <w:b w:val="false"/>
                <w:color w:val="58400C"/>
                <w:sz w:val="24"/>
              </w:rPr>
              <w:t>Număr mare de beneficiari direcți și indirecți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vizează impactul proiectului asupra populației țintă, luând în considerare atât beneficiarii direcți (cei care vor utiliza sau accesa efectiv serviciul sau infrastructura), cât și cei indirecți (persoane care beneficiază în mod colateral de rezultatele proiectului).</w:t>
            </w:r>
          </w:p>
          <w:p>
            <w:pPr>
              <w:spacing w:line="360" w:lineRule="auto"/>
              <w:ind w:left="0" w:right="0" w:firstLine="493"/>
            </w:pPr>
            <w:r>
              <w:rPr>
                <w:rFonts w:ascii="Cambria" w:hAnsi="Cambria"/>
                <w:b w:val="false"/>
                <w:sz w:val="24"/>
              </w:rPr>
              <w:t>Se punctează proiectele care deservesc un număr semnificativ de beneficiari direcți și indirecți Structura criteriului și punctajul aferent:</w:t>
            </w:r>
          </w:p>
          <w:p>
            <w:pPr>
              <w:spacing w:line="360" w:lineRule="auto"/>
              <w:ind w:left="0" w:right="0" w:firstLine="493"/>
            </w:pPr>
            <w:r>
              <w:rPr>
                <w:rFonts w:ascii="Cambria" w:hAnsi="Cambria"/>
                <w:b w:val="false"/>
                <w:sz w:val="24"/>
              </w:rPr>
              <w:t>- 2 puncte – Sub 2.000 de persoane - proiectele care vizează un public restrâns, în general localizat într-o singură comunitate sau într-un grup restrâns de beneficiari.</w:t>
            </w:r>
          </w:p>
          <w:p>
            <w:pPr>
              <w:spacing w:line="360" w:lineRule="auto"/>
              <w:ind w:left="0" w:right="0" w:firstLine="493"/>
            </w:pPr>
            <w:r>
              <w:rPr>
                <w:rFonts w:ascii="Cambria" w:hAnsi="Cambria"/>
                <w:b w:val="false"/>
                <w:sz w:val="24"/>
              </w:rPr>
              <w:t>- 3 puncte – Între 2.000 și 2.500 de persoane - proiecte cu un nivel mediu de acoperire, care se adresează unei arii de mai multe sate/comune sau unui segment extins de populație.</w:t>
            </w:r>
          </w:p>
          <w:p>
            <w:pPr>
              <w:spacing w:line="360" w:lineRule="auto"/>
              <w:ind w:left="0" w:right="0" w:firstLine="493"/>
            </w:pPr>
            <w:r>
              <w:rPr>
                <w:rFonts w:ascii="Cambria" w:hAnsi="Cambria"/>
                <w:b w:val="false"/>
                <w:sz w:val="24"/>
              </w:rPr>
              <w:t>- 5 puncte – Peste 2.500 de persoane - proiecte cu impact larg, cu capacitate reală de a deservi un număr mare de persoane din teritoriu.</w:t>
            </w:r>
          </w:p>
          <w:p>
            <w:pPr>
              <w:spacing w:line="360" w:lineRule="auto"/>
              <w:ind w:left="0" w:right="0" w:firstLine="493"/>
            </w:pPr>
            <w:r>
              <w:rPr>
                <w:rFonts w:ascii="Cambria" w:hAnsi="Cambria"/>
                <w:b w:val="false"/>
                <w:sz w:val="24"/>
              </w:rPr>
              <w:t>Documente prezentate: CF/MJ/SF/DALI, Hotărâre CL/Hotărâri CL/AGA, Acord de parteneriat.</w:t>
            </w:r>
          </w:p>
          <w:p>
            <w:pPr>
              <w:spacing w:line="360" w:lineRule="auto"/>
              <w:ind w:left="0" w:right="0" w:firstLine="493"/>
            </w:pPr>
            <w:r>
              <w:rPr>
                <w:rFonts w:ascii="Cambria" w:hAnsi="Cambria"/>
                <w:b w:val="false"/>
                <w:sz w:val="24"/>
              </w:rPr>
              <w:t>Puncte de verificat în cadrul documentelor prezentate: Punctarea acestui criteriu se va face pe baza informațiilor prezentate în Cererea de finanțare/Acord de parteneriat/Memoriul justificativ/Studiul de Fezabilitate/ Documentaţia de Avizare a Lucrărilor de Intervenţii, precum și în Hotărârea de Consiliului Local</w:t>
            </w:r>
          </w:p>
          <w:p>
            <w:r>
              <w:rPr>
                <w:rFonts w:ascii="Cambria" w:hAnsi="Cambria"/>
                <w:b w:val="false"/>
                <w:sz w:val="24"/>
              </w:rPr>
              <w:t>/Hotărârile de Consiliu Locale/Hotărârea Adunării Generale a ONG, pentru realizarea investiţiei.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C.S.2.2</w:t>
            </w:r>
          </w:p>
        </w:tc>
        <w:tc>
          <w:tcPr>
            <w:shd w:val="clear" w:color="auto" w:fill="F8ECD2"/>
            <w:vAlign w:val="center"/>
          </w:tcPr>
          <w:p>
            <w:r>
              <w:rPr>
                <w:rFonts w:ascii="Cambria" w:hAnsi="Cambria"/>
                <w:b w:val="false"/>
                <w:color w:val="58400C"/>
                <w:sz w:val="24"/>
              </w:rPr>
              <w:t>Capacitatea solicitantului de a asigura sustenabilitatea și impactul public al investiției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 </w:t>
            </w:r>
          </w:p>
          <w:p>
            <w:pPr>
              <w:spacing w:line="360" w:lineRule="auto"/>
              <w:ind w:left="0" w:right="0" w:firstLine="493"/>
            </w:pPr>
            <w:r>
              <w:rPr>
                <w:rFonts w:ascii="Cambria" w:hAnsi="Cambria"/>
                <w:b w:val="false"/>
                <w:sz w:val="24"/>
              </w:rPr>
              <w:t>Acest criteriu evaluează capacitatea reală a solicitantului de a susține investiti̦ a propusă pe termen mediu și lung, din punct de vedere instituțional și funcțional. Se acordă prioritate acelor entități care dețin responsabilități directe ı̂n gestionarea serviciilor sau infrastructurilor comunitare și care pot demonstra un impact public semnificativ, reflectat în beneficiile aduse populației din teritoriu.</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- 15 puncte - Solicitant cu responsabilitate publică ı̂n gestionarea serviciilor/infrastructurii comunitare: entitatea are, prin lege sau atribuții statutare, responsabilități directe ı̂n gestionarea serviciilor publice sau a infrastructurilor locale (ex.: Unități Administrativ-Teritoriale – UAT-uri, consilii locale etc.).</w:t>
            </w:r>
          </w:p>
          <w:p>
            <w:pPr>
              <w:spacing w:line="360" w:lineRule="auto"/>
              <w:ind w:left="0" w:right="0" w:firstLine="493"/>
            </w:pPr>
            <w:r>
              <w:rPr>
                <w:rFonts w:ascii="Cambria" w:hAnsi="Cambria"/>
                <w:b w:val="false"/>
                <w:sz w:val="24"/>
              </w:rPr>
              <w:t>- 3 puncte - Alti̦ solicitanți cu parteneriate privind utilizarea comunitară a investiției: solicitantul este o entitate non-publică (ONG, etc.), dar prezintă parteneriate instituționale cu entități publice sau alte organizații relevante care vizează utilizarea comunitară a investiției. Parteneriatul este justificat prin documente (acorduri, parteneriate, protocoale).</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ı̂n cadrul documentelor prezentate:</w:t>
            </w:r>
          </w:p>
          <w:p>
            <w:pPr>
              <w:spacing w:line="360" w:lineRule="auto"/>
              <w:ind w:left="0" w:right="0" w:firstLine="493"/>
            </w:pPr>
            <w:r>
              <w:rPr>
                <w:rFonts w:ascii="Cambria" w:hAnsi="Cambria"/>
                <w:b w:val="false"/>
                <w:sz w:val="24"/>
              </w:rPr>
              <w:t>Punctarea acestui criteriu se va face pe baza informati̦ ilor prezentate ı̂n Cererea de finanțare/Memoriul justificativ/Studiul de Fezabilitate/Documentaţia de Avizare a Lucrărilor de Intervenţii.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cuprind achizitii si dotari cu echipamente specifice energiei verzi, inclusiv biomasa.</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C.S.3.1</w:t>
            </w:r>
          </w:p>
        </w:tc>
        <w:tc>
          <w:tcPr>
            <w:shd w:val="clear" w:color="auto" w:fill="F8ECD2"/>
            <w:vAlign w:val="center"/>
          </w:tcPr>
          <w:p>
            <w:r>
              <w:rPr>
                <w:rFonts w:ascii="Cambria" w:hAnsi="Cambria"/>
                <w:b w:val="false"/>
                <w:color w:val="58400C"/>
                <w:sz w:val="24"/>
              </w:rPr>
              <w:t>Achiziția de echipamente pentru producerea energiei din surse regenerabile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Criteriul are scopul de a încuraja proiectele care alocă o proporție semnificativă din buget (minim 25%) către achiziția de echipamente dedicate producerii energiei verzi, precum și încurajarea investițiilor care contribuie la tranziția către un consum energetic sustenabil și prietenos cu mediul, prin promovarea utilizării energiei din surse regenerabile (panouri fotovoltaice, solare termice, turbine eoliene mici, pompe de căldură, centrale pe biomasă etc.).</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Devizele investiției din cererea de finanțare/memoriul justificativ/studiul de fezabilitate/DALI;</w:t>
            </w:r>
          </w:p>
          <w:p>
            <w:pPr>
              <w:spacing w:line="360" w:lineRule="auto"/>
              <w:ind w:left="0" w:right="0" w:firstLine="493"/>
            </w:pPr>
            <w:r>
              <w:rPr>
                <w:rFonts w:ascii="Cambria" w:hAnsi="Cambria"/>
                <w:b w:val="false"/>
                <w:sz w:val="24"/>
              </w:rPr>
              <w:t>- Oferte de preț.</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C.S.3.2</w:t>
            </w:r>
          </w:p>
        </w:tc>
        <w:tc>
          <w:tcPr>
            <w:shd w:val="clear" w:color="auto" w:fill="F8ECD2"/>
            <w:vAlign w:val="center"/>
          </w:tcPr>
          <w:p>
            <w:r>
              <w:rPr>
                <w:rFonts w:ascii="Cambria" w:hAnsi="Cambria"/>
                <w:b w:val="false"/>
                <w:color w:val="58400C"/>
                <w:sz w:val="24"/>
              </w:rPr>
              <w:t>Utilizarea biomasei ca sursă principală de energie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urmărește să sprijine și să promoveze proiectele care utilizează biomasa drept resursă energetică regenerabilă, cu impact redus asupra mediului. Se încurajează adoptarea unor soluții durabile, bazate pe resurse locale (lemn, resturi agricole, deșeuri organice etc.), ce contribuie la creșterea independenței energetice și la reducerea emisiilor de carbon.</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Biomasa este utilizată ca sursă de energie în proporție de peste 70% din necesarul estimat.</w:t>
            </w:r>
          </w:p>
          <w:p>
            <w:pPr>
              <w:spacing w:line="360" w:lineRule="auto"/>
              <w:ind w:left="0" w:right="0" w:firstLine="493"/>
            </w:pPr>
            <w:r>
              <w:rPr>
                <w:rFonts w:ascii="Cambria" w:hAnsi="Cambria"/>
                <w:b w:val="false"/>
                <w:sz w:val="24"/>
              </w:rPr>
              <w:t>- 2 puncte - Biomasa este utilizată în proporție de până la 70%.</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Documente justificative privind aprovizionarea cu biomasă;</w:t>
            </w:r>
          </w:p>
          <w:p>
            <w:r>
              <w:rPr>
                <w:rFonts w:ascii="Cambria" w:hAnsi="Cambria"/>
                <w:b w:val="false"/>
                <w:sz w:val="24"/>
              </w:rPr>
              <w:t>             - Estimarea necesarului energetic și acoperirea acestuia din surse regenerabile.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C.S.3.3</w:t>
            </w:r>
          </w:p>
        </w:tc>
        <w:tc>
          <w:tcPr>
            <w:shd w:val="clear" w:color="auto" w:fill="F8ECD2"/>
            <w:vAlign w:val="center"/>
          </w:tcPr>
          <w:p>
            <w:r>
              <w:rPr>
                <w:rFonts w:ascii="Cambria" w:hAnsi="Cambria"/>
                <w:b w:val="false"/>
                <w:color w:val="58400C"/>
                <w:sz w:val="24"/>
              </w:rPr>
              <w:t>Eficiența energetică a investiției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încuraja implementarea de soluții care conduc la o utilizare mai eficientă a resurselor energetice și la reducerea impactului asupra mediului. Se acordă punctaj proiectelor care contribuie semnificativ la reducerea consumului de energie convențională și/sau la diminuarea emisiilor de dioxid de carbon (CO₂).</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reducere a consumului energetic cu peste 40% - proiectul prevede măsuri tehnice care duc la o reducere semnificativă a consumului de energie convențională (ex: izolație avansată, iluminat eficient, echipamente performante etc.), demonstrată prin calcule sau analize energetice.</w:t>
            </w:r>
          </w:p>
          <w:p>
            <w:pPr>
              <w:spacing w:line="360" w:lineRule="auto"/>
              <w:ind w:left="0" w:right="0" w:firstLine="493"/>
            </w:pPr>
            <w:r>
              <w:rPr>
                <w:rFonts w:ascii="Cambria" w:hAnsi="Cambria"/>
                <w:b w:val="false"/>
                <w:sz w:val="24"/>
              </w:rPr>
              <w:t>- 3 puncte - reducere între 20% – 40% - investiția propune soluții care duc la o eficiență energetică moderată, conform unor documente tehnice sau devize care indică economii relevante.</w:t>
            </w:r>
          </w:p>
          <w:p>
            <w:pPr>
              <w:spacing w:line="360" w:lineRule="auto"/>
              <w:ind w:left="0" w:right="0" w:firstLine="493"/>
            </w:pPr>
            <w:r>
              <w:rPr>
                <w:rFonts w:ascii="Cambria" w:hAnsi="Cambria"/>
                <w:b w:val="false"/>
                <w:sz w:val="24"/>
              </w:rPr>
              <w:t>- 1 punct - reducere sub 20% - măsurile de eficiență energetică sunt minime sau marginale, fără un impact substanțial asupra consumului sau emisiilor.</w:t>
            </w:r>
          </w:p>
          <w:p>
            <w:pPr>
              <w:spacing w:line="360" w:lineRule="auto"/>
              <w:ind w:left="0" w:right="0" w:firstLine="493"/>
            </w:pPr>
            <w:r>
              <w:rPr>
                <w:rFonts w:ascii="Cambria" w:hAnsi="Cambria"/>
                <w:b w:val="false"/>
                <w:sz w:val="24"/>
              </w:rPr>
              <w:t>Documente  prezentate: CF/MJ/SF/DALI, Certificat energetic.</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Specificațiile tehnice ale echipamentelor propuse;</w:t>
            </w:r>
          </w:p>
          <w:p>
            <w:pPr>
              <w:spacing w:line="360" w:lineRule="auto"/>
              <w:ind w:left="0" w:right="0" w:firstLine="493"/>
            </w:pPr>
            <w:r>
              <w:rPr>
                <w:rFonts w:ascii="Cambria" w:hAnsi="Cambria"/>
                <w:b w:val="false"/>
                <w:sz w:val="24"/>
              </w:rPr>
              <w:t>-  Date privind consumurile anterioare și proiecțiile post-investiție;</w:t>
            </w:r>
          </w:p>
          <w:p>
            <w:pPr>
              <w:spacing w:line="360" w:lineRule="auto"/>
              <w:ind w:left="0" w:right="0" w:firstLine="493"/>
            </w:pPr>
            <w:r>
              <w:rPr>
                <w:rFonts w:ascii="Cambria" w:hAnsi="Cambria"/>
                <w:b w:val="false"/>
                <w:sz w:val="24"/>
              </w:rPr>
              <w:t>- Calculul estimativ al reducerii emisiilor de CO₂ (dacă este aplicabil).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C.S.3.4</w:t>
            </w:r>
          </w:p>
        </w:tc>
        <w:tc>
          <w:tcPr>
            <w:shd w:val="clear" w:color="auto" w:fill="F8ECD2"/>
            <w:vAlign w:val="center"/>
          </w:tcPr>
          <w:p>
            <w:r>
              <w:rPr>
                <w:rFonts w:ascii="Cambria" w:hAnsi="Cambria"/>
                <w:b w:val="false"/>
                <w:color w:val="58400C"/>
                <w:sz w:val="24"/>
              </w:rPr>
              <w:t>Integrarea sistemelor verzi în infrastructura existentă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vizează sprijinirea proiectelor care promovează modernizarea durabilă a infrastructurii existente, prin integrarea tehnologiilor verzi în clădiri, rețele sau echipamente deja utilizate. Scopul este de a crește eficiența energetică, de a reduce impactul asupra mediului și de a valorifica infrastructura existentă în mod sustenabil.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modernizare complexă și adaptare integrală - proiectul implică o transformare majoră a infrastructurii existente pentru integrarea tehnologiilor verzi (ex: refacerea instalațiilor, adaptarea sistemelor de distribuție/consum, automatizare pentru eficiență, reconfigurarea completă a spațiilor pentru compatibilitate cu echipamentele verzi).</w:t>
            </w:r>
          </w:p>
          <w:p>
            <w:pPr>
              <w:spacing w:line="360" w:lineRule="auto"/>
              <w:ind w:left="0" w:right="0" w:firstLine="493"/>
            </w:pPr>
            <w:r>
              <w:rPr>
                <w:rFonts w:ascii="Cambria" w:hAnsi="Cambria"/>
                <w:b w:val="false"/>
                <w:sz w:val="24"/>
              </w:rPr>
              <w:t>- 2 puncte - integrare parțială - proiectul vizează o adaptare limitată a infrastructurii existente pentru utilizarea energiei verzi (ex: montaj de panouri solare fără modificări importante la instalații, soluții verzi adăugate punctual).</w:t>
            </w:r>
          </w:p>
          <w:p>
            <w:pPr>
              <w:spacing w:line="360" w:lineRule="auto"/>
              <w:ind w:left="0" w:right="0" w:firstLine="493"/>
            </w:pPr>
            <w:r>
              <w:rPr>
                <w:rFonts w:ascii="Cambria" w:hAnsi="Cambria"/>
                <w:b w:val="false"/>
                <w:sz w:val="24"/>
              </w:rPr>
              <w:t>Documente  prezentate: CF/ MJ/SF/DALI,Certificat energetic.</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-Documente privind infrastructura existentă;</w:t>
            </w:r>
          </w:p>
          <w:p>
            <w:pPr>
              <w:spacing w:line="360" w:lineRule="auto"/>
              <w:ind w:left="0" w:right="0" w:firstLine="493"/>
            </w:pPr>
            <w:r>
              <w:rPr>
                <w:rFonts w:ascii="Cambria" w:hAnsi="Cambria"/>
                <w:b w:val="false"/>
                <w:sz w:val="24"/>
              </w:rPr>
              <w:t>-Descrierea soluțiilor tehnice propuse pentru integrarea sistemelor verzi;</w:t>
            </w:r>
          </w:p>
          <w:p>
            <w:pPr>
              <w:spacing w:line="360" w:lineRule="auto"/>
              <w:ind w:left="0" w:right="0" w:firstLine="493"/>
            </w:pPr>
            <w:r>
              <w:rPr>
                <w:rFonts w:ascii="Cambria" w:hAnsi="Cambria"/>
                <w:b w:val="false"/>
                <w:sz w:val="24"/>
              </w:rPr>
              <w:t>-Justificarea nivelului de integrare raportat la starea inițială a infrastructurii.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își propun să realizeze servicii inovatoare pentru teritoriu;</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C.S.4.1</w:t>
            </w:r>
          </w:p>
        </w:tc>
        <w:tc>
          <w:tcPr>
            <w:shd w:val="clear" w:color="auto" w:fill="F8ECD2"/>
            <w:vAlign w:val="center"/>
          </w:tcPr>
          <w:p>
            <w:r>
              <w:rPr>
                <w:rFonts w:ascii="Cambria" w:hAnsi="Cambria"/>
                <w:b w:val="false"/>
                <w:color w:val="58400C"/>
                <w:sz w:val="24"/>
              </w:rPr>
              <w:t>Gradul de noutate al serviciului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susține diversificarea serviciilor disponibile la nivel local prin introducerea unor activități complet noi sau prin abordări inovatoare ale serviciilor existente. Se urmărește stimularea inițiativelor care contribuie la creșterea atractivității și competitivității economiei locale.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serviciu complet nou pentru teritoriu – servicii care nu au mai fost furnizate anterior în zona acoperită de GAL;</w:t>
            </w:r>
          </w:p>
          <w:p>
            <w:pPr>
              <w:spacing w:line="360" w:lineRule="auto"/>
              <w:ind w:left="0" w:right="0" w:firstLine="493"/>
            </w:pPr>
            <w:r>
              <w:rPr>
                <w:rFonts w:ascii="Cambria" w:hAnsi="Cambria"/>
                <w:b w:val="false"/>
                <w:sz w:val="24"/>
              </w:rPr>
              <w:t>- 2 puncte - inovație parțială sau îmbunătățire a unui serviciu existent – servicii care există, dar se adresează într-un mod diferit beneficiarilor sau includ elemente moderne (ex: digitalizare, eficiență, personalizare etc.).</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Descrierea serviciului propus în Cererea de finanțare;</w:t>
            </w:r>
          </w:p>
          <w:p>
            <w:r>
              <w:rPr>
                <w:rFonts w:ascii="Cambria" w:hAnsi="Cambria"/>
                <w:b w:val="false"/>
                <w:sz w:val="24"/>
              </w:rPr>
              <w:t>           - Referințe la furnizorii de servicii existenți (sau lipsa acestora);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C.S.4.2</w:t>
            </w:r>
          </w:p>
        </w:tc>
        <w:tc>
          <w:tcPr>
            <w:shd w:val="clear" w:color="auto" w:fill="F8ECD2"/>
            <w:vAlign w:val="center"/>
          </w:tcPr>
          <w:p>
            <w:r>
              <w:rPr>
                <w:rFonts w:ascii="Cambria" w:hAnsi="Cambria"/>
                <w:b w:val="false"/>
                <w:color w:val="58400C"/>
                <w:sz w:val="24"/>
              </w:rPr>
              <w:t>Adaptarea serviciului la nevoile locale identificate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Acest criteriu urmărește să stimuleze investițiile care răspund direct și specific unor nevoi reale ale comunității locale, identificate prin instrumente obiective, cum ar fi: studii, analize, consultări publice sau documente strategice. Se încurajează corelarea clară între serviciul propus și problemele/cerințele documentate ale populației din teritoriul GAL.</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nevoi clar justificate în studii/analize - proiectul este fundamentat pe date concrete, extrase din studii de nevoi, analize socio-economice, consultări publice documentate sau strategii locale (ex.: SDL, PNRR local, Plan de acțiune local etc.), care demonstrează explicit cererea și importanța serviciului propus.</w:t>
            </w:r>
          </w:p>
          <w:p>
            <w:pPr>
              <w:spacing w:line="360" w:lineRule="auto"/>
              <w:ind w:left="0" w:right="0" w:firstLine="493"/>
            </w:pPr>
            <w:r>
              <w:rPr>
                <w:rFonts w:ascii="Cambria" w:hAnsi="Cambria"/>
                <w:b w:val="false"/>
                <w:sz w:val="24"/>
              </w:rPr>
              <w:t>- 2 puncte - nevoi demonstrate doar general - proiectul identifică nevoi la un nivel general, fără sprijin în documente formale sau fără detalii locale concrete. Argumentele sunt mai degrabă generice sau deduse din tendințe naționale, fără corelare cu particularitățile teritoriale.</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r>
              <w:rPr>
                <w:rFonts w:ascii="Cambria" w:hAnsi="Cambria"/>
                <w:b w:val="false"/>
                <w:sz w:val="24"/>
              </w:rPr>
              <w:t>           - Trimiteri/referințe la Studiul de nevoi/analiza diagnostic/Extrase din strategia de dezvoltare locală a GAL sau alte documente programatice relevante/Rapoarte de consultare publică sau alte forme de participare comunitară;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C.S.4.3</w:t>
            </w:r>
          </w:p>
        </w:tc>
        <w:tc>
          <w:tcPr>
            <w:shd w:val="clear" w:color="auto" w:fill="F8ECD2"/>
            <w:vAlign w:val="center"/>
          </w:tcPr>
          <w:p>
            <w:r>
              <w:rPr>
                <w:rFonts w:ascii="Cambria" w:hAnsi="Cambria"/>
                <w:b w:val="false"/>
                <w:color w:val="58400C"/>
                <w:sz w:val="24"/>
              </w:rPr>
              <w:t>Gradul de digitalizare sau integrare tehnologică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promova proiectele care integrează soluții digitale sau tehnologice inovatoare pentru a spori eficiența, accesibilitatea și calitatea serviciilor oferite. Aceste soluții contribuie la modernizarea rurală, la creșterea competitivității și la facilitarea accesului populației la servicii prin mijloace moderne.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soluție digitală sau tehnologică principală – tehnologia este parte esențială a serviciului propus (ex. platforme online, automatizări, aplicații, echipamente inteligente etc.)</w:t>
            </w:r>
          </w:p>
          <w:p>
            <w:pPr>
              <w:spacing w:line="360" w:lineRule="auto"/>
              <w:ind w:left="0" w:right="0" w:firstLine="493"/>
            </w:pPr>
            <w:r>
              <w:rPr>
                <w:rFonts w:ascii="Cambria" w:hAnsi="Cambria"/>
                <w:b w:val="false"/>
                <w:sz w:val="24"/>
              </w:rPr>
              <w:t>- 2 puncte - utilizare parțială a tehnologiei – soluția digitală este complementară sau auxiliară (ex. digitalizarea parțială a proceselor administrative, dotări cu echipamente de bază)</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Descrierea detaliată a componentelor digitale/tehnologice în cererea de finanțare/MJ/SF/DALI;</w:t>
            </w:r>
          </w:p>
          <w:p>
            <w:pPr>
              <w:spacing w:line="360" w:lineRule="auto"/>
              <w:ind w:left="0" w:right="0" w:firstLine="493"/>
            </w:pPr>
            <w:r>
              <w:rPr>
                <w:rFonts w:ascii="Cambria" w:hAnsi="Cambria"/>
                <w:b w:val="false"/>
                <w:sz w:val="24"/>
              </w:rPr>
              <w:t>- Fișe tehnice, schițe funcționale, descrieri de software sau echipamente propuse;</w:t>
            </w:r>
          </w:p>
          <w:p>
            <w:pPr>
              <w:spacing w:line="360" w:lineRule="auto"/>
              <w:ind w:left="0" w:right="0" w:firstLine="493"/>
            </w:pPr>
            <w:r>
              <w:rPr>
                <w:rFonts w:ascii="Cambria" w:hAnsi="Cambria"/>
                <w:b w:val="false"/>
                <w:sz w:val="24"/>
              </w:rPr>
              <w:t>-Capturi de ecran, machete, prototipuri sau linkuri demonstrative;</w:t>
            </w:r>
          </w:p>
          <w:p>
            <w:r>
              <w:rPr>
                <w:rFonts w:ascii="Cambria" w:hAnsi="Cambria"/>
                <w:b w:val="false"/>
                <w:sz w:val="24"/>
              </w:rPr>
              <w:t>           - Declarații privind integrarea tehnologică în serviciul propus.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C.S.4.4</w:t>
            </w:r>
          </w:p>
        </w:tc>
        <w:tc>
          <w:tcPr>
            <w:shd w:val="clear" w:color="auto" w:fill="F8ECD2"/>
            <w:vAlign w:val="center"/>
          </w:tcPr>
          <w:p>
            <w:r>
              <w:rPr>
                <w:rFonts w:ascii="Cambria" w:hAnsi="Cambria"/>
                <w:b w:val="false"/>
                <w:color w:val="58400C"/>
                <w:sz w:val="24"/>
              </w:rPr>
              <w:t>Sustenabilitatea serviciului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sprijinirea proiectelor care propun servicii durabile economic și funcțional și care pot fi replicate sau extinse în alte comunități sau sectoare. Se încurajează inițiativele cu impact pe termen lung, care dispun de resurse, planificare și structură capabile să asigure continuitatea și dezvoltarea serviciului după finalizarea finanțării.</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viabil pe termen lung și replicabil – proiectul are o strategie clară de susținere post-finanțare, dispune de surse de venit durabile, poate fi adaptat și implementat în alte comunități/domenii</w:t>
            </w:r>
          </w:p>
          <w:p>
            <w:pPr>
              <w:spacing w:line="360" w:lineRule="auto"/>
              <w:ind w:left="0" w:right="0" w:firstLine="493"/>
            </w:pPr>
            <w:r>
              <w:rPr>
                <w:rFonts w:ascii="Cambria" w:hAnsi="Cambria"/>
                <w:b w:val="false"/>
                <w:sz w:val="24"/>
              </w:rPr>
              <w:t>- 2 puncte - viabilitate limitată – proiectul prezintă riscuri de sustenabilitate (dependență de surse externe, lipsă de capacitate organizatorică, lipsa viziunii de extindere)</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Strategii de extindere/replicare incluse în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Eficiența și durata implementării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C.S.5.1</w:t>
            </w:r>
          </w:p>
        </w:tc>
        <w:tc>
          <w:tcPr>
            <w:shd w:val="clear" w:color="auto" w:fill="F8ECD2"/>
            <w:vAlign w:val="center"/>
          </w:tcPr>
          <w:p>
            <w:r>
              <w:rPr>
                <w:rFonts w:ascii="Cambria" w:hAnsi="Cambria"/>
                <w:b w:val="false"/>
                <w:color w:val="58400C"/>
                <w:sz w:val="24"/>
              </w:rPr>
              <w:t>Durata de implementare a proiectului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evaluarea realismului și eficienței duratei de implementare a proiectului. Se promovează proiectele care propun termene de finalizare scurte și realizabile, astfel încât să asigure o implementare rapidă și eficientă, fără întârzieri majore. Durata de implementare trebuie să fie adaptată complexității proiectului, respectând obiectivele și resursele disponibile.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- 12–18 luni – proiectul are o durată moderată, dar realistă, având în vedere complexitatea activităților</w:t>
            </w:r>
          </w:p>
          <w:p>
            <w:pPr>
              <w:spacing w:line="360" w:lineRule="auto"/>
              <w:ind w:left="0" w:right="0" w:firstLine="493"/>
            </w:pPr>
            <w:r>
              <w:rPr>
                <w:rFonts w:ascii="Cambria" w:hAnsi="Cambria"/>
                <w:b w:val="false"/>
                <w:sz w:val="24"/>
              </w:rPr>
              <w:t>-2 puncte - 18–24 luni – durata este relativ lungă, dar poate fi acceptată în funcție de caracteristicile proiectului</w:t>
            </w:r>
          </w:p>
          <w:p>
            <w:pPr>
              <w:spacing w:line="360" w:lineRule="auto"/>
              <w:ind w:left="0" w:right="0" w:firstLine="493"/>
            </w:pPr>
            <w:r>
              <w:rPr>
                <w:rFonts w:ascii="Cambria" w:hAnsi="Cambria"/>
                <w:b w:val="false"/>
                <w:sz w:val="24"/>
              </w:rPr>
              <w:t>- 0 puncte - peste 24 luni – durata propusă este considerată nerealistă pentru implementarea proiectului, ceea ce poate indica o planificare deficitară sau o supraestimare a timpului necesar</w:t>
            </w:r>
          </w:p>
          <w:p>
            <w:pPr>
              <w:spacing w:line="360" w:lineRule="auto"/>
              <w:ind w:left="0" w:right="0" w:firstLine="493"/>
            </w:pPr>
            <w:r>
              <w:rPr>
                <w:rFonts w:ascii="Cambria" w:hAnsi="Cambria"/>
                <w:b w:val="false"/>
                <w:sz w:val="24"/>
              </w:rPr>
              <w:t>Documente  prezentate: CF.</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-Secțiunea D a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C.S.5.2</w:t>
            </w:r>
          </w:p>
        </w:tc>
        <w:tc>
          <w:tcPr>
            <w:shd w:val="clear" w:color="auto" w:fill="F8ECD2"/>
            <w:vAlign w:val="center"/>
          </w:tcPr>
          <w:p>
            <w:r>
              <w:rPr>
                <w:rFonts w:ascii="Cambria" w:hAnsi="Cambria"/>
                <w:b w:val="false"/>
                <w:color w:val="58400C"/>
                <w:sz w:val="24"/>
              </w:rPr>
              <w:t>Gradul de maturitate al proiectului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gradul de pregătire tehnică și administrativă al proiectului, reflectând nivelul de maturitate al documentației pregătite pentru implementare. Un proiect cu o documentație completă și aprobată este considerat mai bine pregătit pentru implementare rapidă și eficientă, având riscuri mai reduse de întârzieri sau dificultăți tehnice.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toate documentele principale finalizate și aprobate (proiect tehnic, autorizații) – proiectul dispune de o documentație completă, inclusiv autorizațiile necesare și proiectul tehnic finalizat, fiind pregătit pentru implementare imediată.</w:t>
            </w:r>
          </w:p>
          <w:p>
            <w:pPr>
              <w:spacing w:line="360" w:lineRule="auto"/>
              <w:ind w:left="0" w:right="0" w:firstLine="493"/>
            </w:pPr>
            <w:r>
              <w:rPr>
                <w:rFonts w:ascii="Cambria" w:hAnsi="Cambria"/>
                <w:b w:val="false"/>
                <w:sz w:val="24"/>
              </w:rPr>
              <w:t>- 3 puncte - documentație parțială (ex.: proiect tehnic parțial sau în curs) – proiectul are o documentație incompletă, dar avansează spre finalizarea acesteia, existând un plan clar pentru completare.</w:t>
            </w:r>
          </w:p>
          <w:p>
            <w:pPr>
              <w:spacing w:line="360" w:lineRule="auto"/>
              <w:ind w:left="0" w:right="0" w:firstLine="493"/>
            </w:pPr>
            <w:r>
              <w:rPr>
                <w:rFonts w:ascii="Cambria" w:hAnsi="Cambria"/>
                <w:b w:val="false"/>
                <w:sz w:val="24"/>
              </w:rPr>
              <w:t>- 2 puncte - documentație minimă (ex.: doar avize preliminare) – proiectul dispune doar de documentele preliminare, fără aprobări esențiale pentru implementare (ex. autorizații sau proiecte tehnice complete)</w:t>
            </w:r>
          </w:p>
          <w:p>
            <w:pPr>
              <w:spacing w:line="360" w:lineRule="auto"/>
              <w:ind w:left="0" w:right="0" w:firstLine="493"/>
            </w:pPr>
            <w:r>
              <w:rPr>
                <w:rFonts w:ascii="Cambria" w:hAnsi="Cambria"/>
                <w:b w:val="false"/>
                <w:sz w:val="24"/>
              </w:rPr>
              <w:t>Documente  prezentate: CF/MJ/SF/DALI/PT.</w:t>
            </w:r>
          </w:p>
          <w:p>
            <w:pPr>
              <w:spacing w:line="360" w:lineRule="auto"/>
              <w:ind w:left="0" w:right="0" w:firstLine="493"/>
            </w:pPr>
            <w:r>
              <w:rPr>
                <w:rFonts w:ascii="Cambria" w:hAnsi="Cambria"/>
                <w:b w:val="false"/>
                <w:sz w:val="24"/>
              </w:rPr>
              <w:t>Puncte de verificat în cadrul documentelor prezentate: Proiectul tehnic complet sau în curs de realizare;</w:t>
            </w:r>
          </w:p>
          <w:p>
            <w:pPr>
              <w:spacing w:line="360" w:lineRule="auto"/>
              <w:ind w:left="0" w:right="0" w:firstLine="493"/>
            </w:pPr>
            <w:r>
              <w:rPr>
                <w:rFonts w:ascii="Cambria" w:hAnsi="Cambria"/>
                <w:b w:val="false"/>
                <w:sz w:val="24"/>
              </w:rPr>
              <w:t>Autorizații, avize și studii necesare pentru implementarea proiectului;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C.S.5.3</w:t>
            </w:r>
          </w:p>
        </w:tc>
        <w:tc>
          <w:tcPr>
            <w:shd w:val="clear" w:color="auto" w:fill="F8ECD2"/>
            <w:vAlign w:val="center"/>
          </w:tcPr>
          <w:p>
            <w:r>
              <w:rPr>
                <w:rFonts w:ascii="Cambria" w:hAnsi="Cambria"/>
                <w:b w:val="false"/>
                <w:color w:val="58400C"/>
                <w:sz w:val="24"/>
              </w:rPr>
              <w:t>Organizarea resurselor și a echipei de implementare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evalueze capacitatea solicitantului de a organiza și aloca resursele umane necesare pentru implementarea proiectului. O echipă bine structurată și cu experiență relevantă este esențială pentru realizarea obiectivelor proiectului într-un mod eficient, respectând termenele și resursele disponibile. Se apreciază claritatea rolurilor și responsabilităților fiecărui membru al echipei.</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-5 puncte - echipa completă, cu experiență demonstrată – proiectul dispune de o echipă completă, cu roluri clar definite și membri cu experiență relevantă în domeniul proiectului. Responsabilitățile sunt bine împărțite și sunt susținute de un background solid în implementarea unor proiecte similare.</w:t>
            </w:r>
          </w:p>
          <w:p>
            <w:pPr>
              <w:spacing w:line="360" w:lineRule="auto"/>
              <w:ind w:left="0" w:right="0" w:firstLine="493"/>
            </w:pPr>
            <w:r>
              <w:rPr>
                <w:rFonts w:ascii="Cambria" w:hAnsi="Cambria"/>
                <w:b w:val="false"/>
                <w:sz w:val="24"/>
              </w:rPr>
              <w:t>-2 puncte - echipa parțială sau lipsă de experiență clară – echipa este incompletă sau nu poate demonstra experiență relevantă în domeniu. Există un risc mai mare de implementare ineficientă din cauza lipsei de pregătire sau a unei structuri incorecte a echipei.</w:t>
            </w:r>
          </w:p>
          <w:p>
            <w:pPr>
              <w:spacing w:line="360" w:lineRule="auto"/>
              <w:ind w:left="0" w:right="0" w:firstLine="493"/>
            </w:pPr>
            <w:r>
              <w:rPr>
                <w:rFonts w:ascii="Cambria" w:hAnsi="Cambria"/>
                <w:b w:val="false"/>
                <w:sz w:val="24"/>
              </w:rPr>
              <w:t>Documente prezentate: CF/MJ/SF/DALI, Raport asupra utilizării programelor de finanţare nerambursabilă, CV-uri/Acord de parteneriat.</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-CV-urile și referințele profesionale ale membrilor echipei;</w:t>
            </w:r>
          </w:p>
          <w:p>
            <w:pPr>
              <w:spacing w:line="360" w:lineRule="auto"/>
              <w:ind w:left="0" w:right="0" w:firstLine="493"/>
            </w:pPr>
            <w:r>
              <w:rPr>
                <w:rFonts w:ascii="Cambria" w:hAnsi="Cambria"/>
                <w:b w:val="false"/>
                <w:sz w:val="24"/>
              </w:rPr>
              <w:t>-Descrierea clară a structurii echipei și a responsabilităților;</w:t>
            </w:r>
          </w:p>
          <w:p>
            <w:pPr>
              <w:spacing w:line="360" w:lineRule="auto"/>
              <w:ind w:left="0" w:right="0" w:firstLine="493"/>
            </w:pPr>
            <w:r>
              <w:rPr>
                <w:rFonts w:ascii="Cambria" w:hAnsi="Cambria"/>
                <w:b w:val="false"/>
                <w:sz w:val="24"/>
              </w:rPr>
              <w:t>-Exemple de proiecte similare în care au fost implicate persoanele din echipă;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C.S.5.4</w:t>
            </w:r>
          </w:p>
        </w:tc>
        <w:tc>
          <w:tcPr>
            <w:shd w:val="clear" w:color="auto" w:fill="F8ECD2"/>
            <w:vAlign w:val="center"/>
          </w:tcPr>
          <w:p>
            <w:r>
              <w:rPr>
                <w:rFonts w:ascii="Cambria" w:hAnsi="Cambria"/>
                <w:b w:val="false"/>
                <w:color w:val="58400C"/>
                <w:sz w:val="24"/>
              </w:rPr>
              <w:t>Planificarea etapelor și activităților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calitatea planificării proiectului, concentrându-se pe claritatea și realismul graficului implementări eficiente a proiectului, fără întârzieri semnificative și cu respectarea termenelor stabilite. Este important ca activitățile de activități propus. Un plan de lucru detaliat și bine structurat este esențial pentru asigurarea unei să fie bine corelate, iar etapele să fie descrise cu precizie.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-5 puncte - grafic de activități clar, fezabil, cu termene rezonabile – proiectul prezintă un plan de lucru detaliat, cu etape clar definite și corelate între ele, fiecare activitate având termene precise și realizabile. Termenele și activitățile sunt bine gândite, iar graficul reflectă o implementare fezabilă a proiectului.</w:t>
            </w:r>
          </w:p>
          <w:p>
            <w:pPr>
              <w:spacing w:line="360" w:lineRule="auto"/>
              <w:ind w:left="0" w:right="0" w:firstLine="493"/>
            </w:pPr>
            <w:r>
              <w:rPr>
                <w:rFonts w:ascii="Cambria" w:hAnsi="Cambria"/>
                <w:b w:val="false"/>
                <w:sz w:val="24"/>
              </w:rPr>
              <w:t>-2 puncte - grafic general, fără detalii suficiente – proiectul prezintă un grafic general, fără a detalia suficient etapele activităților și fără a oferi termene clare sau realiste pentru implementare. Graficul este vag și nu oferă suficiente informații pentru o evaluare adecvată a fezabilității implementării.</w:t>
            </w:r>
          </w:p>
          <w:p>
            <w:pPr>
              <w:spacing w:line="360" w:lineRule="auto"/>
              <w:ind w:left="0" w:right="0" w:firstLine="493"/>
            </w:pPr>
            <w:r>
              <w:rPr>
                <w:rFonts w:ascii="Cambria" w:hAnsi="Cambria"/>
                <w:b w:val="false"/>
                <w:sz w:val="24"/>
              </w:rPr>
              <w:t>Documente  prezentate: CF/MJ/SF/DALI.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-Graficul detaliat al activităților, cu termenele și resursele alocate pentru fiecare etapă;</w:t>
            </w:r>
          </w:p>
          <w:p>
            <w:pPr>
              <w:spacing w:line="360" w:lineRule="auto"/>
              <w:ind w:left="0" w:right="0" w:firstLine="493"/>
            </w:pPr>
            <w:r>
              <w:rPr>
                <w:rFonts w:ascii="Cambria" w:hAnsi="Cambria"/>
                <w:b w:val="false"/>
                <w:sz w:val="24"/>
              </w:rPr>
              <w:t>-Descrierea clară a fiecărei activități și etapa premergătoare necesară pentru începerea acesteia;</w:t>
            </w:r>
          </w:p>
          <w:p>
            <w:pPr>
              <w:spacing w:line="360" w:lineRule="auto"/>
              <w:ind w:left="0" w:right="0" w:firstLine="493"/>
            </w:pPr>
            <w:r>
              <w:rPr>
                <w:rFonts w:ascii="Cambria Bold" w:hAnsi="Cambria Bold"/>
                <w:b/>
                <w:sz w:val="24"/>
              </w:rPr>
              <w:t>Pentru această intervenție pragul minim este de 20 puncte și reprezintă pragul sub care niciun proiect nu poate beneficia de finanțare nerambursabilă.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Criteriul Numărul de beneficiari direcți și indirecți deserviți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Departajarea proiectelor se va realiza în ordinea descrescătoare a numărului total de beneficiari direcți și indirecți deserviți, având prioritate proiectele care adresează un număr mai mare de persoane.</w:t>
            </w:r>
          </w:p>
          <w:p>
            <w:pPr>
              <w:spacing w:line="360" w:lineRule="auto"/>
              <w:ind w:left="0" w:right="0" w:firstLine="493"/>
            </w:pPr>
            <w:r>
              <w:rPr>
                <w:rFonts w:ascii="Cambria" w:hAnsi="Cambria"/>
                <w:b w:val="false"/>
                <w:sz w:val="24"/>
              </w:rPr>
              <w:t>Se verifica informatiile prezentate in sectiunea E2.3 din Cererea de</w:t>
            </w:r>
          </w:p>
          <w:p>
            <w:pPr>
              <w:spacing w:line="360" w:lineRule="auto"/>
              <w:ind w:left="0" w:right="0" w:firstLine="493"/>
            </w:pPr>
            <w:r>
              <w:rPr>
                <w:rFonts w:ascii="Cambria" w:hAnsi="Cambria"/>
                <w:b w:val="false"/>
                <w:sz w:val="24"/>
              </w:rPr>
              <w:t>finantare si Hotararea Consilliului Local/Hotararea Adunarii Generale.</w:t>
            </w:r>
          </w:p>
          <w:p>
            <w:pPr>
              <w:spacing w:line="360" w:lineRule="auto"/>
              <w:ind w:left="0" w:right="0" w:firstLine="493"/>
            </w:pPr>
            <w:r>
              <w:rPr>
                <w:rFonts w:ascii="Cambria" w:hAnsi="Cambria"/>
                <w:b w:val="false"/>
                <w:sz w:val="24"/>
              </w:rPr>
              <w:t>In cazul proiectelor cu punctaj egal vor avea prioritate proiectele care deservesc un numar mai mare de populatie rurala, în valori absolute. Se verifica în Hotararea Consilliului Local/Hotararea Adunarii Generale numarul de persoane deservite de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Criteriul Durata de implementare mai redusă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Departajarea se va face în ordinea crescătoare a duratei de implementare, având prioritate proiectele cu o perioadă de execuție mai scurtă. Se verifica informatiile prezentate in sectiunea E2.3 din Cererea de finantare. In cazul proiectelor cu punctaj egal vor avea prioritate proiectele cu o perioadă de execuție mai scurtă, dar nu mai puțin de 12 luni.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Criteriul Impactul estimat asupra dezvoltării locale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care obțin cel mai mare punctaj cumulat la criteriul C.S.2., reflectând un impact estimat semnificativ asupra dezvoltării locale. Se verifica informatiile prezentate in sectiunea E2.3 din Cererea de finantare. In cazul proiectelor cu punctaj egal vor avea prioritate proiectele care obțin cel mai mare punctaj cumulat la criteriul C.S.2..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pPr>
              <w:spacing w:line="360" w:lineRule="auto"/>
              <w:ind w:left="0" w:right="0" w:firstLine="493"/>
            </w:pPr>
            <w:r>
              <w:rPr>
                <w:rFonts w:ascii="Cambria" w:hAnsi="Cambria"/>
                <w:b w:val="false"/>
                <w:color w:val="58400C"/>
                <w:sz w:val="24"/>
              </w:rPr>
              <w:t>Criteriul Gradul de inovare al</w:t>
            </w:r>
          </w:p>
          <w:p>
            <w:r>
              <w:rPr>
                <w:rFonts w:ascii="Cambria" w:hAnsi="Cambria"/>
                <w:b w:val="false"/>
                <w:color w:val="58400C"/>
                <w:sz w:val="24"/>
              </w:rPr>
              <w:t>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acorda prioritate proiectului care obține cel mai mare punctaj la criteriul C.S.4.1, privind gradul de inovare al proiectului. Se verifica informatiile prezentate in sectiunea E2.3 din Cererea de finantare. In cazul proiectelor cu punctaj egal vor avea prioritate proiectele care obțin cel mai mare punctaj la criteriul C.S.4.1.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Gradul de utilizare a surselor regenerabile și protecția mediului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care obțin cel mai mare punctaj la criteriul C.S.3., reflectând un impact pozitiv semnificativ asupra mediului înconjurător. Se verifica informatiile prezentate în sectiunea E2.3 din Cererea de finantare. In cazul proiectelor cu punctaj egal vor avea prioritate proiectele care obțin cel mai mare punctaj la criteriul C.S.3.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6</w:t>
            </w:r>
          </w:p>
        </w:tc>
        <w:tc>
          <w:tcPr>
            <w:shd w:val="clear" w:color="auto" w:fill="F8ECD2"/>
            <w:vAlign w:val="center"/>
          </w:tcPr>
          <w:p>
            <w:r>
              <w:rPr>
                <w:rFonts w:ascii="Cambria" w:hAnsi="Cambria"/>
                <w:b w:val="false"/>
                <w:color w:val="58400C"/>
                <w:sz w:val="24"/>
              </w:rPr>
              <w:t>Existenta parteneriatelor locale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implică parteneriate cu alte organizații sau entități locale. Se verifica informatiile prezentate in sectiunea E2.3 din Cererea de finantare. In cazul proiectelor cu punctaj egal vor avea prioritate proiectele care care implică parteneriate cu alte organizații sau entități locale.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86e0ce9434224" /></Relationships>
</file>